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 w:cs="Verdan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Verdana" w:hAnsi="Verdana" w:cs="Verdana"/>
          <w:b/>
          <w:bCs/>
          <w:color w:val="000000"/>
          <w:sz w:val="32"/>
          <w:szCs w:val="32"/>
          <w:shd w:val="clear" w:color="auto" w:fill="FFFFFF"/>
        </w:rPr>
        <w:t xml:space="preserve"> 青岛科技大学“东岳</w:t>
      </w:r>
      <w:r>
        <w:rPr>
          <w:rFonts w:hint="eastAsia" w:ascii="Verdana" w:hAnsi="Verdana" w:cs="Verdana"/>
          <w:b/>
          <w:bCs/>
          <w:color w:val="000000"/>
          <w:sz w:val="32"/>
          <w:szCs w:val="32"/>
          <w:shd w:val="clear" w:color="auto" w:fill="FFFFFF"/>
          <w:lang w:eastAsia="zh-CN"/>
        </w:rPr>
        <w:t>奖学金</w:t>
      </w:r>
      <w:r>
        <w:rPr>
          <w:rFonts w:hint="eastAsia" w:ascii="Verdana" w:hAnsi="Verdana" w:cs="Verdana"/>
          <w:b/>
          <w:bCs/>
          <w:color w:val="000000"/>
          <w:sz w:val="32"/>
          <w:szCs w:val="32"/>
          <w:shd w:val="clear" w:color="auto" w:fill="FFFFFF"/>
        </w:rPr>
        <w:t>”评审办法</w:t>
      </w:r>
    </w:p>
    <w:p>
      <w:pPr>
        <w:jc w:val="center"/>
        <w:rPr>
          <w:rFonts w:ascii="Verdana" w:hAnsi="Verdana" w:cs="Verdan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Verdana" w:hAnsi="Verdana" w:cs="Verdana"/>
          <w:b/>
          <w:bCs/>
          <w:color w:val="000000"/>
          <w:sz w:val="32"/>
          <w:szCs w:val="32"/>
          <w:shd w:val="clear" w:color="auto" w:fill="FFFFFF"/>
        </w:rPr>
        <w:t>（试行）</w:t>
      </w:r>
    </w:p>
    <w:p>
      <w:pPr>
        <w:jc w:val="center"/>
        <w:rPr>
          <w:rFonts w:ascii="Verdana" w:hAnsi="Verdana" w:cs="Verdana"/>
          <w:b/>
          <w:bCs/>
          <w:color w:val="000000"/>
          <w:sz w:val="32"/>
          <w:szCs w:val="32"/>
          <w:shd w:val="clear" w:color="auto" w:fill="FFFFFF"/>
        </w:rPr>
      </w:pP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一、总  则</w:t>
      </w:r>
    </w:p>
    <w:p>
      <w:pPr>
        <w:ind w:firstLine="560" w:firstLineChars="200"/>
        <w:rPr>
          <w:rFonts w:ascii="宋体" w:hAnsi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第一条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 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为鼓励高分子、化工等专业领域的研究生在学术科研上勇于攀登、不断进取，根据《青岛科技大学教育发展基金会捐赠财产管理使用规定（修订稿）》（青科大基金字[2017]11号）和学校实际工作需要，制定本办法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二、奖励标准与申请条件</w:t>
      </w:r>
    </w:p>
    <w:p>
      <w:pPr>
        <w:ind w:firstLine="56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第二条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“东岳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奖学金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”主要奖励学术、科研表现优秀的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全日制脱产学习的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研究生，每年发放一次，奖励标准为博士、硕士研究生每生每次5000元。</w:t>
      </w:r>
    </w:p>
    <w:p>
      <w:pPr>
        <w:ind w:firstLine="560" w:firstLineChars="200"/>
        <w:rPr>
          <w:rFonts w:ascii="宋体" w:hAnsi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第三条 “东岳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奖学金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”的基本申请条件：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1.热爱社会主义祖国，拥护中国共产党的领导；</w:t>
      </w:r>
    </w:p>
    <w:p>
      <w:pPr>
        <w:pStyle w:val="4"/>
        <w:widowControl/>
        <w:shd w:val="clear" w:color="auto" w:fill="FFFFFF"/>
        <w:spacing w:beforeAutospacing="0" w:afterAutospacing="0"/>
        <w:ind w:firstLine="534" w:firstLineChars="191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2.遵守宪法和法律，遵守学校规章制度；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3.诚实守信，学风严谨，道德品质优良；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rPr>
          <w:rFonts w:hint="default" w:ascii="宋体" w:hAnsi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4.学习态度端正，成绩优异，必修课平均成绩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  <w:t>75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分以上或排名在本学科10%之内，且所有修读课程未出现过不及格现象。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  <w:lang w:eastAsia="zh-CN"/>
        </w:rPr>
        <w:t>外语要求需符合下列条件之一：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  <w:t>1、国家大学生外语六级考试成绩60分（百分制）（含）以上；2、雅思（学术类）6.0分（含）以上；3、托福90分（含）以上。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5.科研成果突出，至少满足上列条件之一：</w:t>
      </w:r>
    </w:p>
    <w:p>
      <w:pPr>
        <w:pStyle w:val="4"/>
        <w:widowControl/>
        <w:shd w:val="clear" w:color="auto" w:fill="FFFFFF"/>
        <w:spacing w:beforeAutospacing="0" w:afterAutospacing="0"/>
        <w:ind w:left="581" w:leftChars="133" w:hanging="302" w:hangingChars="108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 （1）在本学科或相近学科领域发表高水平的学术论文至少一篇；（2）获得国家专利授权；　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（3）在国际性、全国性学术、科技、文化竞赛中获得三等奖及以上奖励者；</w:t>
      </w:r>
    </w:p>
    <w:p>
      <w:pPr>
        <w:pStyle w:val="4"/>
        <w:widowControl/>
        <w:shd w:val="clear" w:color="auto" w:fill="FFFFFF"/>
        <w:spacing w:beforeAutospacing="0" w:afterAutospacing="0"/>
        <w:ind w:firstLine="360"/>
        <w:rPr>
          <w:rFonts w:hint="eastAsia"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 以上科研成果均要求第一单位为青岛科技大学，研究生是第一作者；或其导师为第一作者，研究生为第二作者，其余无效；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（4）在国家级出版社正式出版的专著、教材中承担主要编写任务，超过5万字以上；</w:t>
      </w:r>
    </w:p>
    <w:p>
      <w:pPr>
        <w:pStyle w:val="4"/>
        <w:widowControl/>
        <w:shd w:val="clear" w:color="auto" w:fill="FFFFFF"/>
        <w:spacing w:beforeAutospacing="0" w:afterAutospacing="0"/>
        <w:ind w:firstLine="534" w:firstLineChars="191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6. 积极参与社会实践、科技创新、学术文化活动，表现优秀；</w:t>
      </w:r>
    </w:p>
    <w:p>
      <w:pPr>
        <w:ind w:firstLine="560" w:firstLineChars="200"/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第四条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研究生出现以下任一情况，不具备当年“东岳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奖学金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”评选资格：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rPr>
          <w:rFonts w:hint="eastAsia"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  <w:t>1.评选学年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违反国家法律、校纪校规受到纪律处分者；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rPr>
          <w:rFonts w:hint="eastAsia"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  <w:t>2.评选学年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有抄袭剽窃、弄虚作假等学术不端行为经查证属实的；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rPr>
          <w:rFonts w:hint="eastAsia"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  <w:t>3.评选学年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因个人原因学籍状态处于休学或其他保留学籍情况的；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  <w:t>4.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修读年限超过3年的；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  <w:t>5.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当年毕业的研究生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  <w:lang w:eastAsia="zh-CN"/>
        </w:rPr>
        <w:t>。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当年已经评选上国家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奖学金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的研究生不再参评“东岳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奖学金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”；以上评选条件为申请最低要求，各学院可根据学院实际情况制定相应细则。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以上学习和科研成果截止到202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  <w:r>
        <w:rPr>
          <w:rFonts w:hint="eastAsia" w:ascii="宋体" w:hAnsi="宋体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日）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</w:pPr>
    </w:p>
    <w:p>
      <w:pPr>
        <w:jc w:val="center"/>
        <w:rPr>
          <w:rFonts w:ascii="仿宋" w:hAnsi="仿宋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三、奖励对象与名额分配</w:t>
      </w:r>
    </w:p>
    <w:p>
      <w:pPr>
        <w:ind w:firstLine="560" w:firstLineChars="200"/>
        <w:jc w:val="left"/>
        <w:rPr>
          <w:rFonts w:ascii="宋体" w:hAnsi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第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五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条 “东岳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奖学金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”的奖励对象为高分子科学与工程学院、化工学院和先进高分子合成与技术应用研究所的优秀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全日制脱产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博士、硕士研究生。</w:t>
      </w:r>
    </w:p>
    <w:p>
      <w:pPr>
        <w:ind w:firstLine="560" w:firstLineChars="200"/>
        <w:rPr>
          <w:rFonts w:ascii="宋体" w:hAnsi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第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六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条 “东岳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奖学金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”每年奖励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的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名额为高分子科学与工程学院博士、硕士研究生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共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5人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化工学院博士、硕士研究生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共5人、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先进高分子合成与技术应用研究所博士、硕士研究生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共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10人，合计每年奖励博士、硕士研究生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共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20人。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四、评  审</w:t>
      </w:r>
    </w:p>
    <w:p>
      <w:pPr>
        <w:ind w:firstLine="560" w:firstLineChars="200"/>
        <w:jc w:val="left"/>
        <w:rPr>
          <w:rFonts w:ascii="宋体" w:hAnsi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 xml:space="preserve"> 第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七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条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“东岳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奖学金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”实行等额评审，坚持公开、公平、公正的原则，采取一年一评的方式进行。</w:t>
      </w:r>
    </w:p>
    <w:p>
      <w:pPr>
        <w:ind w:firstLine="560" w:firstLineChars="200"/>
        <w:jc w:val="left"/>
        <w:rPr>
          <w:rFonts w:ascii="宋体" w:hAnsi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第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八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条 “东岳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奖学金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”的评审实行“两级评审、两级公示”制度。基金会项目部统一领导“东岳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奖学金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”评审工作，评审办公室设在基金会项目部。各学院（部门）成立工作小组具体负责本学院（部门）的评审工作。“东岳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奖学金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”奖励候选人产生后，应在学院（部门）、学校两个层次和范围内进行公示。</w:t>
      </w:r>
    </w:p>
    <w:p>
      <w:pPr>
        <w:ind w:firstLine="56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第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九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条 “东岳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奖学金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”的评审程序：</w:t>
      </w:r>
    </w:p>
    <w:p>
      <w:pPr>
        <w:ind w:firstLine="560" w:firstLineChars="200"/>
        <w:jc w:val="left"/>
        <w:rPr>
          <w:rFonts w:ascii="宋体" w:hAnsi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1.符合申请条件的学生提出申请，递交《青岛科技大学“东岳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奖学金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”申请表》。</w:t>
      </w:r>
    </w:p>
    <w:p>
      <w:pPr>
        <w:ind w:firstLine="560" w:firstLineChars="200"/>
        <w:jc w:val="left"/>
        <w:rPr>
          <w:rFonts w:ascii="宋体" w:hAnsi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2. 学院（部门）工作小组对申请人的资格进行审核并开展评审工作，等额确定本学院（部门）的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推荐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奖励名单。</w:t>
      </w:r>
    </w:p>
    <w:p>
      <w:pPr>
        <w:ind w:firstLine="560" w:firstLineChars="200"/>
        <w:jc w:val="left"/>
        <w:rPr>
          <w:rFonts w:ascii="宋体" w:hAnsi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3. 学院（部门）工作小组将“东岳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奖学金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”奖励候选人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推荐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名单在学院（部门）范围内进行不少于3个工作日的公示，公示期满，将公示无异议的候选人申请表、名单及证明材料报教育发展基金会。</w:t>
      </w:r>
    </w:p>
    <w:p>
      <w:pPr>
        <w:ind w:firstLine="560" w:firstLineChars="200"/>
        <w:jc w:val="left"/>
        <w:rPr>
          <w:rFonts w:ascii="宋体" w:hAnsi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4.教育发展基金会对有关材料进行审查，确定当年“东岳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奖学金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”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推荐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奖励名单，在校内进行不少于3个工作日的公示，公示期满无异议后，组织奖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学金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的发放并举办发放仪式。</w:t>
      </w:r>
    </w:p>
    <w:p>
      <w:pPr>
        <w:ind w:firstLine="560" w:firstLineChars="200"/>
        <w:jc w:val="left"/>
        <w:rPr>
          <w:rFonts w:ascii="宋体" w:hAnsi="宋体"/>
          <w:color w:val="000000"/>
          <w:kern w:val="0"/>
          <w:sz w:val="28"/>
          <w:szCs w:val="28"/>
          <w:shd w:val="clear" w:color="auto" w:fill="FFFFFF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五、发放、管理与监督</w:t>
      </w:r>
    </w:p>
    <w:p>
      <w:pPr>
        <w:ind w:firstLine="560" w:firstLineChars="200"/>
        <w:jc w:val="left"/>
        <w:rPr>
          <w:rFonts w:ascii="宋体" w:hAnsi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第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十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条 “东岳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奖学金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”由基金会根据《中华人民共和国公益事业捐赠法》《基金会管理条例》《民间非营利组织会计制度》等法律法规统一管理。</w:t>
      </w:r>
    </w:p>
    <w:p>
      <w:pPr>
        <w:ind w:firstLine="560" w:firstLineChars="200"/>
        <w:jc w:val="left"/>
        <w:rPr>
          <w:rFonts w:ascii="宋体" w:hAnsi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第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十一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条 “东岳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奖学金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”的管理、评审、发放接受上级管理机关、基金会监事、广大师生的共同监督，通过公示捐赠及受助信息、参加基金会年检、公布年检报告等方式保障项目健康运行、公开管理、透明运作。</w:t>
      </w:r>
    </w:p>
    <w:p>
      <w:pPr>
        <w:ind w:firstLine="560"/>
        <w:jc w:val="left"/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六、附  则</w:t>
      </w:r>
    </w:p>
    <w:p>
      <w:pPr>
        <w:ind w:firstLine="548" w:firstLineChars="196"/>
        <w:rPr>
          <w:rFonts w:ascii="宋体" w:hAnsi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第十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二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条  本办法及其它相关事宜由教育发展基金会、相关学院（部门）负责解释，自发布之日起施行。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A8"/>
    <w:rsid w:val="000A34B2"/>
    <w:rsid w:val="002010A8"/>
    <w:rsid w:val="002F0315"/>
    <w:rsid w:val="005007AE"/>
    <w:rsid w:val="00AB075E"/>
    <w:rsid w:val="00B61A4E"/>
    <w:rsid w:val="00CE26BE"/>
    <w:rsid w:val="00EB10C3"/>
    <w:rsid w:val="00ED366E"/>
    <w:rsid w:val="00EE68E2"/>
    <w:rsid w:val="00F031EF"/>
    <w:rsid w:val="0452542F"/>
    <w:rsid w:val="05855014"/>
    <w:rsid w:val="07B436A2"/>
    <w:rsid w:val="0A3A7292"/>
    <w:rsid w:val="0BEF6DCE"/>
    <w:rsid w:val="0CA8141D"/>
    <w:rsid w:val="0D342656"/>
    <w:rsid w:val="12075356"/>
    <w:rsid w:val="18421B77"/>
    <w:rsid w:val="1F106A3A"/>
    <w:rsid w:val="24F82536"/>
    <w:rsid w:val="28456237"/>
    <w:rsid w:val="2B6F150A"/>
    <w:rsid w:val="310022AB"/>
    <w:rsid w:val="32E51BDA"/>
    <w:rsid w:val="38A23AEC"/>
    <w:rsid w:val="3C0C3797"/>
    <w:rsid w:val="3CF3202B"/>
    <w:rsid w:val="3DA52BE0"/>
    <w:rsid w:val="3DF55CA8"/>
    <w:rsid w:val="44551789"/>
    <w:rsid w:val="467E77F2"/>
    <w:rsid w:val="5F2D2F82"/>
    <w:rsid w:val="608B0FD7"/>
    <w:rsid w:val="656B4FD5"/>
    <w:rsid w:val="663A24ED"/>
    <w:rsid w:val="6AEC3E66"/>
    <w:rsid w:val="6D051274"/>
    <w:rsid w:val="76ED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256</Words>
  <Characters>1463</Characters>
  <Lines>12</Lines>
  <Paragraphs>3</Paragraphs>
  <TotalTime>63</TotalTime>
  <ScaleCrop>false</ScaleCrop>
  <LinksUpToDate>false</LinksUpToDate>
  <CharactersWithSpaces>1716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2019-10-28T07:28:00Z</dcterms:created>
  <dc:creator>lenovo</dc:creator>
  <cp:lastModifiedBy>嘻哈</cp:lastModifiedBy>
  <dcterms:modified xsi:type="dcterms:W3CDTF">2021-12-07T00:22:30Z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AB8F1A4016754327B2EFDF26A2278D2A</vt:lpwstr>
  </property>
</Properties>
</file>